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8A" w:rsidRPr="00CF1114" w:rsidRDefault="009F3157" w:rsidP="00987B22">
      <w:pPr>
        <w:pStyle w:val="Kop1"/>
        <w:spacing w:line="360" w:lineRule="auto"/>
        <w:rPr>
          <w:color w:val="ED7D31" w:themeColor="accent2"/>
        </w:rPr>
      </w:pPr>
      <w:r w:rsidRPr="00CF1114">
        <w:rPr>
          <w:color w:val="ED7D31" w:themeColor="accent2"/>
        </w:rPr>
        <w:t>Eerste begeleidingsperiode (</w:t>
      </w:r>
      <w:r w:rsidR="00CF1114" w:rsidRPr="00CF1114">
        <w:rPr>
          <w:color w:val="ED7D31" w:themeColor="accent2"/>
        </w:rPr>
        <w:t>tussen hoofdmeetmoment 1 en 2)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157" w:rsidRPr="009F3157" w:rsidTr="005D32A9">
        <w:tc>
          <w:tcPr>
            <w:tcW w:w="2265" w:type="dxa"/>
          </w:tcPr>
          <w:p w:rsidR="009F3157" w:rsidRPr="0063316D" w:rsidRDefault="009F3157" w:rsidP="00CF1114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Doel(en)</w:t>
            </w:r>
          </w:p>
        </w:tc>
        <w:tc>
          <w:tcPr>
            <w:tcW w:w="6797" w:type="dxa"/>
            <w:gridSpan w:val="3"/>
          </w:tcPr>
          <w:p w:rsidR="009F3157" w:rsidRPr="00482807" w:rsidRDefault="00482807" w:rsidP="00CF111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Beschrijf hier specifieke en meetbare doelen.</w:t>
            </w:r>
          </w:p>
        </w:tc>
      </w:tr>
      <w:tr w:rsidR="009F3157" w:rsidRPr="009F3157" w:rsidTr="009F3157">
        <w:tc>
          <w:tcPr>
            <w:tcW w:w="2265" w:type="dxa"/>
          </w:tcPr>
          <w:p w:rsidR="009F3157" w:rsidRPr="009F3157" w:rsidRDefault="009F3157" w:rsidP="00CF1114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Periode</w:t>
            </w:r>
          </w:p>
        </w:tc>
        <w:tc>
          <w:tcPr>
            <w:tcW w:w="2265" w:type="dxa"/>
          </w:tcPr>
          <w:p w:rsidR="009F3157" w:rsidRPr="009F3157" w:rsidRDefault="00755DFA" w:rsidP="002C056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2x </w:t>
            </w:r>
            <w:r w:rsidR="009F3157" w:rsidRPr="009F3157">
              <w:rPr>
                <w:i/>
                <w:sz w:val="20"/>
                <w:szCs w:val="20"/>
              </w:rPr>
              <w:t>10</w:t>
            </w:r>
            <w:r w:rsidR="00045D4B">
              <w:rPr>
                <w:i/>
                <w:sz w:val="20"/>
                <w:szCs w:val="20"/>
              </w:rPr>
              <w:t xml:space="preserve">-12 </w:t>
            </w:r>
            <w:r w:rsidR="009F3157" w:rsidRPr="009F3157">
              <w:rPr>
                <w:i/>
                <w:sz w:val="20"/>
                <w:szCs w:val="20"/>
              </w:rPr>
              <w:t xml:space="preserve"> weken</w:t>
            </w:r>
          </w:p>
        </w:tc>
        <w:tc>
          <w:tcPr>
            <w:tcW w:w="2266" w:type="dxa"/>
          </w:tcPr>
          <w:p w:rsidR="009F3157" w:rsidRPr="009F3157" w:rsidRDefault="009F3157" w:rsidP="00CF1114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Totale duur p/w (#minuten)</w:t>
            </w:r>
          </w:p>
        </w:tc>
        <w:tc>
          <w:tcPr>
            <w:tcW w:w="2266" w:type="dxa"/>
          </w:tcPr>
          <w:p w:rsidR="009F3157" w:rsidRPr="009F3157" w:rsidRDefault="009F3157" w:rsidP="00CF11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157" w:rsidTr="009F3157">
        <w:tc>
          <w:tcPr>
            <w:tcW w:w="2265" w:type="dxa"/>
          </w:tcPr>
          <w:p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weken</w:t>
            </w:r>
          </w:p>
        </w:tc>
        <w:tc>
          <w:tcPr>
            <w:tcW w:w="2265" w:type="dxa"/>
          </w:tcPr>
          <w:p w:rsidR="009F3157" w:rsidRPr="0063316D" w:rsidRDefault="009F3157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63316D">
              <w:rPr>
                <w:sz w:val="20"/>
                <w:szCs w:val="20"/>
              </w:rPr>
              <w:t>Door wie</w:t>
            </w:r>
          </w:p>
        </w:tc>
        <w:tc>
          <w:tcPr>
            <w:tcW w:w="2266" w:type="dxa"/>
          </w:tcPr>
          <w:p w:rsidR="009F3157" w:rsidRPr="0063316D" w:rsidRDefault="009F3157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157" w:rsidTr="009F3157">
        <w:tc>
          <w:tcPr>
            <w:tcW w:w="2265" w:type="dxa"/>
          </w:tcPr>
          <w:p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Frequentie p/w</w:t>
            </w:r>
          </w:p>
        </w:tc>
        <w:tc>
          <w:tcPr>
            <w:tcW w:w="2265" w:type="dxa"/>
          </w:tcPr>
          <w:p w:rsidR="009F3157" w:rsidRPr="0063316D" w:rsidRDefault="009F3157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9F3157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Organisatievorm</w:t>
            </w:r>
          </w:p>
        </w:tc>
        <w:tc>
          <w:tcPr>
            <w:tcW w:w="2266" w:type="dxa"/>
          </w:tcPr>
          <w:p w:rsidR="009F3157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>In een klein groepje, individueel, klassikaal</w:t>
            </w:r>
            <w:r w:rsidR="002C056C">
              <w:rPr>
                <w:i/>
                <w:sz w:val="20"/>
                <w:szCs w:val="20"/>
              </w:rPr>
              <w:t>?</w:t>
            </w:r>
          </w:p>
        </w:tc>
      </w:tr>
      <w:tr w:rsidR="0063316D" w:rsidTr="009D5B45">
        <w:tc>
          <w:tcPr>
            <w:tcW w:w="9062" w:type="dxa"/>
            <w:gridSpan w:val="4"/>
          </w:tcPr>
          <w:p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Aanpak</w:t>
            </w:r>
          </w:p>
          <w:p w:rsid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>Methodieken, korte omschrijving activiteiten</w:t>
            </w:r>
            <w:r>
              <w:rPr>
                <w:i/>
                <w:sz w:val="20"/>
                <w:szCs w:val="20"/>
              </w:rPr>
              <w:t>.</w:t>
            </w:r>
          </w:p>
          <w:p w:rsidR="0063316D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de eerste begeleidingsperiode voldoet ondersteuning op niveau 1 (goed lees- en spellingsonderwijs in klassenverband) en 2</w:t>
            </w:r>
            <w:r w:rsidR="00CF1114">
              <w:rPr>
                <w:i/>
                <w:sz w:val="20"/>
                <w:szCs w:val="20"/>
              </w:rPr>
              <w:t xml:space="preserve"> </w:t>
            </w:r>
            <w:r w:rsidR="00CF1114" w:rsidRPr="00CF1114">
              <w:rPr>
                <w:rStyle w:val="Voetnootmarkering"/>
                <w:i/>
                <w:color w:val="ED7D31" w:themeColor="accent2"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 xml:space="preserve"> (extra begeleiding van de leerkracht in de klas). </w:t>
            </w:r>
          </w:p>
          <w:p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316D" w:rsidTr="00113F27">
        <w:tc>
          <w:tcPr>
            <w:tcW w:w="9062" w:type="dxa"/>
            <w:gridSpan w:val="4"/>
          </w:tcPr>
          <w:p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Evaluatie</w:t>
            </w:r>
          </w:p>
          <w:p w:rsidR="0063316D" w:rsidRPr="0063316D" w:rsidRDefault="0063316D" w:rsidP="00F31A67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63316D">
              <w:rPr>
                <w:rFonts w:ascii="Calibri" w:hAnsi="Calibri"/>
                <w:i/>
                <w:sz w:val="20"/>
              </w:rPr>
              <w:t>Verwijs niet alleen naar de cito-scores maar maak indien mogelijk een foutenanalyse en beschrijf dit hier. Deze foutenanalyse vormt de ba</w:t>
            </w:r>
            <w:r w:rsidR="00BD5F49">
              <w:rPr>
                <w:rFonts w:ascii="Calibri" w:hAnsi="Calibri"/>
                <w:i/>
                <w:sz w:val="20"/>
              </w:rPr>
              <w:t>sis voor de specifieke doelen di</w:t>
            </w:r>
            <w:r w:rsidRPr="0063316D">
              <w:rPr>
                <w:rFonts w:ascii="Calibri" w:hAnsi="Calibri"/>
                <w:i/>
                <w:sz w:val="20"/>
              </w:rPr>
              <w:t xml:space="preserve">e je stelt voor de tweede begeleidingsperiode. </w:t>
            </w:r>
          </w:p>
          <w:p w:rsid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F1114" w:rsidRDefault="00CF1114">
      <w:pP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</w:pPr>
      <w:r>
        <w:rPr>
          <w:color w:val="ED7D31" w:themeColor="accent2"/>
        </w:rPr>
        <w:br w:type="page"/>
      </w:r>
    </w:p>
    <w:p w:rsidR="00C0428A" w:rsidRPr="00CF1114" w:rsidRDefault="009F3157" w:rsidP="00987B22">
      <w:pPr>
        <w:pStyle w:val="Kop1"/>
        <w:spacing w:line="360" w:lineRule="auto"/>
        <w:rPr>
          <w:color w:val="ED7D31" w:themeColor="accent2"/>
        </w:rPr>
      </w:pPr>
      <w:r w:rsidRPr="00CF1114">
        <w:rPr>
          <w:color w:val="ED7D31" w:themeColor="accent2"/>
        </w:rPr>
        <w:lastRenderedPageBreak/>
        <w:t xml:space="preserve">Tweede begeleidingsperiode </w:t>
      </w:r>
      <w:r w:rsidR="00CF1114">
        <w:rPr>
          <w:color w:val="ED7D31" w:themeColor="accent2"/>
        </w:rPr>
        <w:t>(tussen hoofdmeetmoment 2 en 3)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316D" w:rsidRPr="009F3157" w:rsidTr="00840D19">
        <w:tc>
          <w:tcPr>
            <w:tcW w:w="2265" w:type="dxa"/>
          </w:tcPr>
          <w:p w:rsidR="0063316D" w:rsidRPr="0063316D" w:rsidRDefault="0063316D" w:rsidP="00CF1114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Doel(en)</w:t>
            </w:r>
            <w:r w:rsidR="00CF1114" w:rsidRPr="004E1C1E">
              <w:rPr>
                <w:rStyle w:val="Voetnootmarkering"/>
                <w:color w:val="ED7D31" w:themeColor="accent2"/>
                <w:sz w:val="20"/>
                <w:szCs w:val="20"/>
              </w:rPr>
              <w:footnoteReference w:id="2"/>
            </w:r>
          </w:p>
        </w:tc>
        <w:tc>
          <w:tcPr>
            <w:tcW w:w="6797" w:type="dxa"/>
            <w:gridSpan w:val="3"/>
          </w:tcPr>
          <w:p w:rsidR="0063316D" w:rsidRPr="0063316D" w:rsidRDefault="0063316D" w:rsidP="00CF1114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 xml:space="preserve">Beschrijf hier specifieke en meetbare doelen </w:t>
            </w:r>
            <w:r w:rsidR="00E43FA8">
              <w:rPr>
                <w:i/>
                <w:sz w:val="20"/>
                <w:szCs w:val="20"/>
              </w:rPr>
              <w:t xml:space="preserve">(SMART-O) </w:t>
            </w:r>
            <w:r w:rsidRPr="0063316D">
              <w:rPr>
                <w:i/>
                <w:sz w:val="20"/>
                <w:szCs w:val="20"/>
              </w:rPr>
              <w:t>die voortvloeien uit de foutenanalyse na begeleidingsperiode 1.</w:t>
            </w:r>
          </w:p>
        </w:tc>
      </w:tr>
      <w:tr w:rsidR="0063316D" w:rsidRPr="009F3157" w:rsidTr="00840D19">
        <w:tc>
          <w:tcPr>
            <w:tcW w:w="2265" w:type="dxa"/>
          </w:tcPr>
          <w:p w:rsidR="0063316D" w:rsidRPr="009F3157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Periode</w:t>
            </w:r>
          </w:p>
        </w:tc>
        <w:tc>
          <w:tcPr>
            <w:tcW w:w="2265" w:type="dxa"/>
          </w:tcPr>
          <w:p w:rsidR="0063316D" w:rsidRPr="009F3157" w:rsidRDefault="00755DFA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2x </w:t>
            </w:r>
            <w:r w:rsidR="0063316D" w:rsidRPr="009F3157">
              <w:rPr>
                <w:i/>
                <w:sz w:val="20"/>
                <w:szCs w:val="20"/>
              </w:rPr>
              <w:t>10</w:t>
            </w:r>
            <w:r w:rsidR="00045D4B">
              <w:rPr>
                <w:i/>
                <w:sz w:val="20"/>
                <w:szCs w:val="20"/>
              </w:rPr>
              <w:t xml:space="preserve">-12 </w:t>
            </w:r>
            <w:r w:rsidR="0063316D" w:rsidRPr="009F3157">
              <w:rPr>
                <w:i/>
                <w:sz w:val="20"/>
                <w:szCs w:val="20"/>
              </w:rPr>
              <w:t xml:space="preserve"> weken</w:t>
            </w:r>
          </w:p>
        </w:tc>
        <w:tc>
          <w:tcPr>
            <w:tcW w:w="2266" w:type="dxa"/>
          </w:tcPr>
          <w:p w:rsidR="0063316D" w:rsidRPr="009F3157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9F3157">
              <w:rPr>
                <w:sz w:val="20"/>
                <w:szCs w:val="20"/>
              </w:rPr>
              <w:t>Totale duur p/w (#minuten)</w:t>
            </w:r>
          </w:p>
        </w:tc>
        <w:tc>
          <w:tcPr>
            <w:tcW w:w="2266" w:type="dxa"/>
          </w:tcPr>
          <w:p w:rsidR="0063316D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Minimaal 60 min per week</w:t>
            </w:r>
          </w:p>
        </w:tc>
      </w:tr>
      <w:tr w:rsidR="0063316D" w:rsidTr="00840D19">
        <w:tc>
          <w:tcPr>
            <w:tcW w:w="2265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weken</w:t>
            </w:r>
          </w:p>
        </w:tc>
        <w:tc>
          <w:tcPr>
            <w:tcW w:w="2265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 w:rsidRPr="0063316D">
              <w:rPr>
                <w:sz w:val="20"/>
                <w:szCs w:val="20"/>
              </w:rPr>
              <w:t>Door wie</w:t>
            </w:r>
          </w:p>
        </w:tc>
        <w:tc>
          <w:tcPr>
            <w:tcW w:w="2266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316D" w:rsidTr="00840D19">
        <w:tc>
          <w:tcPr>
            <w:tcW w:w="2265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Frequentie p/w</w:t>
            </w:r>
          </w:p>
        </w:tc>
        <w:tc>
          <w:tcPr>
            <w:tcW w:w="2265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Organisatievorm</w:t>
            </w:r>
          </w:p>
        </w:tc>
        <w:tc>
          <w:tcPr>
            <w:tcW w:w="2266" w:type="dxa"/>
          </w:tcPr>
          <w:p w:rsidR="0063316D" w:rsidRP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Individueel of in een groepje van max 4 </w:t>
            </w:r>
            <w:proofErr w:type="spellStart"/>
            <w:r>
              <w:rPr>
                <w:i/>
                <w:sz w:val="20"/>
                <w:szCs w:val="20"/>
              </w:rPr>
              <w:t>lln</w:t>
            </w:r>
            <w:proofErr w:type="spellEnd"/>
            <w:r w:rsidR="002C056C">
              <w:rPr>
                <w:i/>
                <w:sz w:val="20"/>
                <w:szCs w:val="20"/>
              </w:rPr>
              <w:t>?</w:t>
            </w:r>
          </w:p>
        </w:tc>
      </w:tr>
      <w:tr w:rsidR="0063316D" w:rsidTr="00840D19">
        <w:tc>
          <w:tcPr>
            <w:tcW w:w="9062" w:type="dxa"/>
            <w:gridSpan w:val="4"/>
          </w:tcPr>
          <w:p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Aanpak</w:t>
            </w:r>
          </w:p>
          <w:p w:rsid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 w:rsidRPr="0063316D">
              <w:rPr>
                <w:i/>
                <w:sz w:val="20"/>
                <w:szCs w:val="20"/>
              </w:rPr>
              <w:t>Methodieken, korte omschrijving activiteiten</w:t>
            </w:r>
            <w:r>
              <w:rPr>
                <w:i/>
                <w:sz w:val="20"/>
                <w:szCs w:val="20"/>
              </w:rPr>
              <w:t>. Zorg ervoor dat de gekozen methodiek aansluit bij de hiaten van de leerling.</w:t>
            </w:r>
          </w:p>
          <w:p w:rsidR="0063316D" w:rsidRDefault="0063316D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de tweede begeleidingsperiode moet ondersteuning geboden worden op niveau 1, 2 en 3 </w:t>
            </w:r>
            <w:r w:rsidR="00CF1114" w:rsidRPr="004E1C1E">
              <w:rPr>
                <w:rStyle w:val="Voetnootmarkering"/>
                <w:b/>
                <w:i/>
                <w:color w:val="ED7D31" w:themeColor="accent2"/>
                <w:sz w:val="20"/>
                <w:szCs w:val="20"/>
              </w:rPr>
              <w:footnoteReference w:id="3"/>
            </w:r>
            <w:r>
              <w:rPr>
                <w:i/>
                <w:sz w:val="20"/>
                <w:szCs w:val="20"/>
              </w:rPr>
              <w:t>(specifieke interventies uitgevoerd en/of ondersteund door een lees-/zorgspecialist in de school</w:t>
            </w:r>
            <w:r w:rsidR="00C0428A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:rsid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316D" w:rsidTr="00840D19">
        <w:tc>
          <w:tcPr>
            <w:tcW w:w="9062" w:type="dxa"/>
            <w:gridSpan w:val="4"/>
          </w:tcPr>
          <w:p w:rsidR="0063316D" w:rsidRPr="0063316D" w:rsidRDefault="0063316D" w:rsidP="00F31A67">
            <w:pPr>
              <w:spacing w:line="276" w:lineRule="auto"/>
              <w:rPr>
                <w:b/>
                <w:sz w:val="20"/>
                <w:szCs w:val="20"/>
              </w:rPr>
            </w:pPr>
            <w:r w:rsidRPr="0063316D">
              <w:rPr>
                <w:b/>
                <w:sz w:val="20"/>
                <w:szCs w:val="20"/>
              </w:rPr>
              <w:t>Evaluatie</w:t>
            </w:r>
          </w:p>
          <w:p w:rsidR="0063316D" w:rsidRPr="00C0428A" w:rsidRDefault="00E43FA8" w:rsidP="00F31A6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Beschrijf hier of de doelen wel/ niet behaald zijn en beschrijf kort </w:t>
            </w:r>
            <w:r w:rsidR="00C0428A">
              <w:rPr>
                <w:i/>
                <w:sz w:val="20"/>
                <w:szCs w:val="20"/>
              </w:rPr>
              <w:t xml:space="preserve">de fouten die de leerling ondanks intensieve inzet blijft maken. </w:t>
            </w:r>
          </w:p>
          <w:p w:rsidR="00C0428A" w:rsidRDefault="00C0428A" w:rsidP="00F31A67">
            <w:pPr>
              <w:spacing w:line="276" w:lineRule="auto"/>
              <w:rPr>
                <w:sz w:val="20"/>
                <w:szCs w:val="20"/>
              </w:rPr>
            </w:pPr>
          </w:p>
          <w:p w:rsidR="0063316D" w:rsidRPr="0063316D" w:rsidRDefault="0063316D" w:rsidP="00F31A6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F1114" w:rsidRDefault="00CF1114" w:rsidP="00F31A67">
      <w:pPr>
        <w:spacing w:line="276" w:lineRule="auto"/>
        <w:rPr>
          <w:sz w:val="20"/>
          <w:szCs w:val="20"/>
        </w:rPr>
      </w:pPr>
    </w:p>
    <w:p w:rsidR="009F3157" w:rsidRPr="009F3157" w:rsidRDefault="00CF1114" w:rsidP="00F31A67">
      <w:pPr>
        <w:spacing w:line="276" w:lineRule="auto"/>
      </w:pPr>
      <w:r>
        <w:rPr>
          <w:sz w:val="20"/>
          <w:szCs w:val="20"/>
        </w:rPr>
        <w:t>Kijk voor</w:t>
      </w:r>
      <w:r w:rsidR="00E43FA8" w:rsidRPr="00E43FA8">
        <w:rPr>
          <w:sz w:val="20"/>
          <w:szCs w:val="20"/>
        </w:rPr>
        <w:t xml:space="preserve"> een uitgebreide toelichting op de ondersteuningsniveaus naar de </w:t>
      </w:r>
      <w:hyperlink r:id="rId8" w:history="1">
        <w:r w:rsidR="00E43FA8" w:rsidRPr="00CF1114">
          <w:rPr>
            <w:rStyle w:val="Hyperlink"/>
            <w:sz w:val="20"/>
            <w:szCs w:val="20"/>
          </w:rPr>
          <w:t>handreiking van het NKD</w:t>
        </w:r>
      </w:hyperlink>
      <w:r>
        <w:rPr>
          <w:sz w:val="20"/>
          <w:szCs w:val="20"/>
        </w:rPr>
        <w:t>.</w:t>
      </w:r>
    </w:p>
    <w:sectPr w:rsidR="009F3157" w:rsidRPr="009F3157" w:rsidSect="00987B22">
      <w:head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4F" w:rsidRDefault="004F544F" w:rsidP="004F544F">
      <w:pPr>
        <w:spacing w:after="0" w:line="240" w:lineRule="auto"/>
      </w:pPr>
      <w:r>
        <w:separator/>
      </w:r>
    </w:p>
  </w:endnote>
  <w:endnote w:type="continuationSeparator" w:id="0">
    <w:p w:rsidR="004F544F" w:rsidRDefault="004F544F" w:rsidP="004F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4F" w:rsidRDefault="004F544F" w:rsidP="004F544F">
      <w:pPr>
        <w:spacing w:after="0" w:line="240" w:lineRule="auto"/>
      </w:pPr>
      <w:r>
        <w:separator/>
      </w:r>
    </w:p>
  </w:footnote>
  <w:footnote w:type="continuationSeparator" w:id="0">
    <w:p w:rsidR="004F544F" w:rsidRDefault="004F544F" w:rsidP="004F544F">
      <w:pPr>
        <w:spacing w:after="0" w:line="240" w:lineRule="auto"/>
      </w:pPr>
      <w:r>
        <w:continuationSeparator/>
      </w:r>
    </w:p>
  </w:footnote>
  <w:footnote w:id="1">
    <w:p w:rsidR="00CF1114" w:rsidRDefault="00CF1114" w:rsidP="00CF1114">
      <w:pPr>
        <w:spacing w:line="276" w:lineRule="auto"/>
      </w:pPr>
      <w:r w:rsidRPr="004E1C1E">
        <w:rPr>
          <w:rStyle w:val="Voetnootmarkering"/>
          <w:b/>
          <w:color w:val="ED7D31" w:themeColor="accent2"/>
        </w:rPr>
        <w:footnoteRef/>
      </w:r>
      <w:r w:rsidRPr="00CF1114">
        <w:rPr>
          <w:color w:val="ED7D31" w:themeColor="accent2"/>
        </w:rPr>
        <w:t xml:space="preserve"> </w:t>
      </w:r>
      <w:r w:rsidRPr="00CF1114">
        <w:rPr>
          <w:b/>
          <w:sz w:val="20"/>
          <w:szCs w:val="20"/>
        </w:rPr>
        <w:t>Ondersteuningsniveau 2 is:</w:t>
      </w:r>
      <w:r w:rsidRPr="00C0428A">
        <w:rPr>
          <w:sz w:val="20"/>
          <w:szCs w:val="20"/>
        </w:rPr>
        <w:t xml:space="preserve"> • Verlengde instructie: een intensivering van de instructie door de leerkracht </w:t>
      </w:r>
      <w:bookmarkStart w:id="0" w:name="_GoBack"/>
      <w:bookmarkEnd w:id="0"/>
      <w:r w:rsidRPr="00C0428A">
        <w:rPr>
          <w:sz w:val="20"/>
          <w:szCs w:val="20"/>
        </w:rPr>
        <w:t>(herhaling in kleinere stappen, extra feedback en gelegenheid tot extra verwerking). • Uitbreiding</w:t>
      </w:r>
      <w:r>
        <w:rPr>
          <w:sz w:val="20"/>
          <w:szCs w:val="20"/>
        </w:rPr>
        <w:t xml:space="preserve"> van de leertijd</w:t>
      </w:r>
      <w:r w:rsidRPr="00C0428A">
        <w:rPr>
          <w:sz w:val="20"/>
          <w:szCs w:val="20"/>
        </w:rPr>
        <w:t xml:space="preserve"> • Het verlengen van de door de leerkracht geboden begeleide inoefening. De geboden hulp wordt beschreven in een groepsplan en bevat meerdere werkzame componenten (hoofdstuk 3). Ze</w:t>
      </w:r>
      <w:r w:rsidR="00CE7A2B">
        <w:rPr>
          <w:sz w:val="20"/>
          <w:szCs w:val="20"/>
        </w:rPr>
        <w:t xml:space="preserve"> wordt na minimaal 10 en maxima</w:t>
      </w:r>
      <w:r w:rsidRPr="00C0428A">
        <w:rPr>
          <w:sz w:val="20"/>
          <w:szCs w:val="20"/>
        </w:rPr>
        <w:t>al 12 weken geëvalueerd.</w:t>
      </w:r>
    </w:p>
  </w:footnote>
  <w:footnote w:id="2">
    <w:p w:rsidR="00CF1114" w:rsidRDefault="00CF1114" w:rsidP="00CF1114">
      <w:pPr>
        <w:spacing w:line="276" w:lineRule="auto"/>
      </w:pPr>
      <w:r w:rsidRPr="004E1C1E">
        <w:rPr>
          <w:rStyle w:val="Voetnootmarkering"/>
          <w:b/>
          <w:color w:val="ED7D31" w:themeColor="accent2"/>
        </w:rPr>
        <w:footnoteRef/>
      </w:r>
      <w:r w:rsidRPr="004E1C1E">
        <w:rPr>
          <w:b/>
          <w:color w:val="ED7D31" w:themeColor="accent2"/>
        </w:rPr>
        <w:t xml:space="preserve"> </w:t>
      </w:r>
      <w:r w:rsidRPr="00E43FA8">
        <w:rPr>
          <w:sz w:val="20"/>
          <w:szCs w:val="20"/>
        </w:rPr>
        <w:t>Voorbeelden van SMART-O geformuleerde doelen zijn:</w:t>
      </w:r>
      <w:r>
        <w:t xml:space="preserve"> 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CF1114" w:rsidTr="00CF1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114" w:rsidRPr="00E43FA8" w:rsidRDefault="00CF1114" w:rsidP="00CF1114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E43FA8">
              <w:rPr>
                <w:sz w:val="20"/>
                <w:szCs w:val="20"/>
              </w:rPr>
              <w:t xml:space="preserve">Niet </w:t>
            </w:r>
          </w:p>
        </w:tc>
        <w:tc>
          <w:tcPr>
            <w:tcW w:w="6085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CF1114" w:rsidRPr="00E43FA8" w:rsidRDefault="00CF1114" w:rsidP="00CF111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43FA8">
              <w:rPr>
                <w:sz w:val="20"/>
                <w:szCs w:val="20"/>
              </w:rPr>
              <w:t>Wel</w:t>
            </w:r>
          </w:p>
        </w:tc>
      </w:tr>
      <w:tr w:rsidR="00CF1114" w:rsidTr="00CF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CF1114" w:rsidRPr="00CF1114" w:rsidRDefault="00CF1114" w:rsidP="00CF1114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F1114">
              <w:rPr>
                <w:b w:val="0"/>
                <w:sz w:val="20"/>
                <w:szCs w:val="20"/>
              </w:rPr>
              <w:t>Klank-tekenkoppeling beter</w:t>
            </w:r>
          </w:p>
        </w:tc>
        <w:tc>
          <w:tcPr>
            <w:tcW w:w="6085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CF1114" w:rsidRDefault="00CF1114" w:rsidP="00CF11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Twee-tekenkoppeling 80% beter</w:t>
            </w:r>
          </w:p>
        </w:tc>
      </w:tr>
      <w:tr w:rsidR="00CF1114" w:rsidTr="00CF1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ED7D31" w:themeColor="accent2"/>
            </w:tcBorders>
          </w:tcPr>
          <w:p w:rsidR="00CF1114" w:rsidRPr="00CF1114" w:rsidRDefault="00CF1114" w:rsidP="00CF1114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F1114">
              <w:rPr>
                <w:b w:val="0"/>
                <w:sz w:val="20"/>
                <w:szCs w:val="20"/>
              </w:rPr>
              <w:t>Minder spellend lezen</w:t>
            </w:r>
          </w:p>
        </w:tc>
        <w:tc>
          <w:tcPr>
            <w:tcW w:w="6085" w:type="dxa"/>
            <w:tcBorders>
              <w:left w:val="single" w:sz="12" w:space="0" w:color="ED7D31" w:themeColor="accent2"/>
            </w:tcBorders>
          </w:tcPr>
          <w:p w:rsidR="00CF1114" w:rsidRPr="00E43FA8" w:rsidRDefault="00CF1114" w:rsidP="00CF11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FA8">
              <w:rPr>
                <w:sz w:val="20"/>
                <w:szCs w:val="20"/>
              </w:rPr>
              <w:t>Percentage spellend gelezen woorden in M4-teksten van 40% naar 20%</w:t>
            </w:r>
          </w:p>
        </w:tc>
      </w:tr>
      <w:tr w:rsidR="00CF1114" w:rsidTr="004E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ED7D31" w:themeColor="accent2"/>
            </w:tcBorders>
          </w:tcPr>
          <w:p w:rsidR="00CF1114" w:rsidRPr="00CF1114" w:rsidRDefault="00CF1114" w:rsidP="00CF1114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F1114">
              <w:rPr>
                <w:b w:val="0"/>
                <w:sz w:val="20"/>
                <w:szCs w:val="20"/>
              </w:rPr>
              <w:t>Auditieve synthese oefenen</w:t>
            </w:r>
          </w:p>
        </w:tc>
        <w:tc>
          <w:tcPr>
            <w:tcW w:w="6085" w:type="dxa"/>
            <w:tcBorders>
              <w:left w:val="single" w:sz="12" w:space="0" w:color="ED7D31" w:themeColor="accent2"/>
            </w:tcBorders>
          </w:tcPr>
          <w:p w:rsidR="00CF1114" w:rsidRDefault="00CF1114" w:rsidP="00CF11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beheersing van auditieve synthese op MKM-niveau</w:t>
            </w:r>
          </w:p>
        </w:tc>
      </w:tr>
      <w:tr w:rsidR="00CF1114" w:rsidTr="004E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nil"/>
              <w:right w:val="single" w:sz="12" w:space="0" w:color="ED7D31" w:themeColor="accent2"/>
            </w:tcBorders>
          </w:tcPr>
          <w:p w:rsidR="00CF1114" w:rsidRPr="00CF1114" w:rsidRDefault="00CF1114" w:rsidP="00CF1114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F1114">
              <w:rPr>
                <w:b w:val="0"/>
                <w:sz w:val="20"/>
                <w:szCs w:val="20"/>
              </w:rPr>
              <w:t>De leesmotivatie verbeteren</w:t>
            </w:r>
          </w:p>
        </w:tc>
        <w:tc>
          <w:tcPr>
            <w:tcW w:w="6085" w:type="dxa"/>
            <w:tcBorders>
              <w:top w:val="single" w:sz="4" w:space="0" w:color="7F7F7F" w:themeColor="text1" w:themeTint="80"/>
              <w:left w:val="single" w:sz="12" w:space="0" w:color="ED7D31" w:themeColor="accent2"/>
              <w:bottom w:val="nil"/>
            </w:tcBorders>
          </w:tcPr>
          <w:p w:rsidR="00CF1114" w:rsidRPr="00E43FA8" w:rsidRDefault="00CF1114" w:rsidP="00CF11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FA8">
              <w:rPr>
                <w:sz w:val="20"/>
                <w:szCs w:val="20"/>
              </w:rPr>
              <w:t>Leesmotivatie stijgt op een schaal 1-10 van 5 (zoals X bij aan</w:t>
            </w:r>
            <w:r>
              <w:rPr>
                <w:sz w:val="20"/>
                <w:szCs w:val="20"/>
              </w:rPr>
              <w:t>vang zelf heeft benoemd) naar 7</w:t>
            </w:r>
          </w:p>
        </w:tc>
      </w:tr>
    </w:tbl>
    <w:p w:rsidR="00CF1114" w:rsidRDefault="00CF1114">
      <w:pPr>
        <w:pStyle w:val="Voetnoottekst"/>
      </w:pPr>
    </w:p>
  </w:footnote>
  <w:footnote w:id="3">
    <w:p w:rsidR="00CF1114" w:rsidRPr="00C0428A" w:rsidRDefault="00CF1114" w:rsidP="00CF1114">
      <w:pPr>
        <w:spacing w:line="276" w:lineRule="auto"/>
        <w:rPr>
          <w:sz w:val="20"/>
          <w:szCs w:val="20"/>
        </w:rPr>
      </w:pPr>
      <w:r w:rsidRPr="004E1C1E">
        <w:rPr>
          <w:rStyle w:val="Voetnootmarkering"/>
          <w:b/>
          <w:color w:val="ED7D31" w:themeColor="accent2"/>
        </w:rPr>
        <w:footnoteRef/>
      </w:r>
      <w:r>
        <w:t xml:space="preserve"> </w:t>
      </w:r>
      <w:r w:rsidRPr="00CF1114">
        <w:rPr>
          <w:b/>
          <w:sz w:val="20"/>
          <w:szCs w:val="20"/>
        </w:rPr>
        <w:t>Ondersteuningsniveau 3 is</w:t>
      </w:r>
      <w:r w:rsidRPr="00C0428A">
        <w:rPr>
          <w:sz w:val="20"/>
          <w:szCs w:val="20"/>
        </w:rPr>
        <w:t>: • Specifieke interventie die afgestemd is op de hiaten in de ontwikkeling van de betreffende leerling(en), zoals vastgesteld op grond van een foutenanalyse. • Intensieve en systematische toepassing van deze specifieke interventie . • Uitbreiding van de leestijd met minimaal 3 x 20 minuten (of in ieder geval in totaal tenminste 60 minuten) per week. • Geboden door een gekwalif</w:t>
      </w:r>
      <w:r>
        <w:rPr>
          <w:sz w:val="20"/>
          <w:szCs w:val="20"/>
        </w:rPr>
        <w:t>iceerde professional</w:t>
      </w:r>
      <w:r w:rsidRPr="00C0428A">
        <w:rPr>
          <w:sz w:val="20"/>
          <w:szCs w:val="20"/>
        </w:rPr>
        <w:t>. • Bij voorkeur individueel om goed aan te kunnen sluiten bij de ontwikkeling van de leerling, óf in kleine groepjes (max. 4 leerlingen) met leerlingen met vergelijkbare hiaten in de ontwikkeling en ve</w:t>
      </w:r>
      <w:r>
        <w:rPr>
          <w:sz w:val="20"/>
          <w:szCs w:val="20"/>
        </w:rPr>
        <w:t>rgelijkbare onderwijsbehoeften.</w:t>
      </w:r>
      <w:r w:rsidRPr="00C0428A">
        <w:rPr>
          <w:sz w:val="20"/>
          <w:szCs w:val="20"/>
        </w:rPr>
        <w:t xml:space="preserve"> Ze wordt na minimaal 10 en maximaal 12 weken geëvalueerd.</w:t>
      </w:r>
      <w:r w:rsidR="00045D4B">
        <w:rPr>
          <w:sz w:val="20"/>
          <w:szCs w:val="20"/>
        </w:rPr>
        <w:t xml:space="preserve"> </w:t>
      </w:r>
    </w:p>
    <w:p w:rsidR="00CF1114" w:rsidRDefault="00CF1114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4F" w:rsidRDefault="00F31A67" w:rsidP="004F544F">
    <w:pPr>
      <w:pStyle w:val="Titel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4159885</wp:posOffset>
          </wp:positionH>
          <wp:positionV relativeFrom="paragraph">
            <wp:posOffset>-213360</wp:posOffset>
          </wp:positionV>
          <wp:extent cx="1910715" cy="926503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_logo def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926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4F">
      <w:t>Handelingsplan dyslexiezorg</w:t>
    </w:r>
  </w:p>
  <w:p w:rsidR="004F544F" w:rsidRDefault="004F544F" w:rsidP="004F544F">
    <w:pPr>
      <w:pStyle w:val="Titel"/>
    </w:pPr>
    <w:r>
      <w:t xml:space="preserve">- </w:t>
    </w:r>
    <w:r w:rsidRPr="004F544F">
      <w:rPr>
        <w:color w:val="ED7D31" w:themeColor="accent2"/>
      </w:rPr>
      <w:t>voorbeeld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2B6"/>
    <w:multiLevelType w:val="hybridMultilevel"/>
    <w:tmpl w:val="381269A0"/>
    <w:lvl w:ilvl="0" w:tplc="867EF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48B"/>
    <w:multiLevelType w:val="hybridMultilevel"/>
    <w:tmpl w:val="58064582"/>
    <w:lvl w:ilvl="0" w:tplc="1F7AD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57"/>
    <w:rsid w:val="00045D4B"/>
    <w:rsid w:val="002C056C"/>
    <w:rsid w:val="0033103F"/>
    <w:rsid w:val="00451545"/>
    <w:rsid w:val="00482807"/>
    <w:rsid w:val="004E1290"/>
    <w:rsid w:val="004E1C1E"/>
    <w:rsid w:val="004F544F"/>
    <w:rsid w:val="0063316D"/>
    <w:rsid w:val="006D2F81"/>
    <w:rsid w:val="00755DFA"/>
    <w:rsid w:val="0078096B"/>
    <w:rsid w:val="0083469B"/>
    <w:rsid w:val="008A2C9F"/>
    <w:rsid w:val="008E4C28"/>
    <w:rsid w:val="00924214"/>
    <w:rsid w:val="00987B22"/>
    <w:rsid w:val="009F3157"/>
    <w:rsid w:val="00A24558"/>
    <w:rsid w:val="00BD5F49"/>
    <w:rsid w:val="00C0428A"/>
    <w:rsid w:val="00CE7A2B"/>
    <w:rsid w:val="00CF1114"/>
    <w:rsid w:val="00E43FA8"/>
    <w:rsid w:val="00F31A6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EF24DE1-EBC2-4488-B0AD-BFDA6FB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3157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F1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9F3157"/>
    <w:pPr>
      <w:spacing w:after="0"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9F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42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FA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544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F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544F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4F5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5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F1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111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1114"/>
  </w:style>
  <w:style w:type="character" w:styleId="Voetnootmarkering">
    <w:name w:val="footnote reference"/>
    <w:basedOn w:val="Standaardalinea-lettertype"/>
    <w:uiPriority w:val="99"/>
    <w:semiHidden/>
    <w:unhideWhenUsed/>
    <w:rsid w:val="00CF1114"/>
    <w:rPr>
      <w:vertAlign w:val="superscript"/>
    </w:rPr>
  </w:style>
  <w:style w:type="table" w:styleId="Onopgemaaktetabel2">
    <w:name w:val="Plain Table 2"/>
    <w:basedOn w:val="Standaardtabel"/>
    <w:uiPriority w:val="42"/>
    <w:rsid w:val="00CF1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d.nl/app/uploads/2020/01/20190218Handreiking-voor-de-invulling-van-ondersteuningsniveau-2-en-3-versie-2DCdef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EBAC-AE29-45B1-B008-98E9E4DB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763D578B</Template>
  <TotalTime>59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Marjolijn Clevers</cp:lastModifiedBy>
  <cp:revision>12</cp:revision>
  <dcterms:created xsi:type="dcterms:W3CDTF">2020-11-16T06:56:00Z</dcterms:created>
  <dcterms:modified xsi:type="dcterms:W3CDTF">2021-01-14T16:04:00Z</dcterms:modified>
</cp:coreProperties>
</file>